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4" w:rsidRDefault="009054F4" w:rsidP="00D03EC2">
      <w:pPr>
        <w:widowControl/>
        <w:suppressAutoHyphens w:val="0"/>
        <w:jc w:val="right"/>
        <w:outlineLvl w:val="0"/>
        <w:rPr>
          <w:rFonts w:eastAsia="Times New Roman" w:cs="Times New Roman"/>
          <w:b/>
          <w:bCs/>
          <w:color w:val="FF0000"/>
          <w:kern w:val="0"/>
        </w:rPr>
      </w:pPr>
      <w:r>
        <w:rPr>
          <w:rFonts w:eastAsia="Times New Roman" w:cs="Times New Roman"/>
          <w:b/>
          <w:bCs/>
          <w:noProof/>
          <w:color w:val="FF0000"/>
          <w:kern w:val="0"/>
        </w:rPr>
        <w:drawing>
          <wp:inline distT="0" distB="0" distL="0" distR="0">
            <wp:extent cx="5940818" cy="9029700"/>
            <wp:effectExtent l="0" t="0" r="3175" b="0"/>
            <wp:docPr id="1" name="Рисунок 1" descr="E:\САЙТ\1. САЙТ\8. Коллективный договор 2019-2021\Для сайта\Приложения к коллективному договору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8. Коллективный договор 2019-2021\Для сайта\Приложения к коллективному договору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F4" w:rsidRDefault="009054F4" w:rsidP="009054F4">
      <w:pPr>
        <w:widowControl/>
        <w:suppressAutoHyphens w:val="0"/>
        <w:autoSpaceDE w:val="0"/>
        <w:textAlignment w:val="auto"/>
        <w:rPr>
          <w:rFonts w:eastAsia="Times New Roman" w:cs="Times New Roman"/>
          <w:b/>
          <w:bCs/>
          <w:color w:val="FF0000"/>
          <w:kern w:val="0"/>
        </w:rPr>
      </w:pPr>
    </w:p>
    <w:p w:rsidR="00F463A7" w:rsidRDefault="00F463A7" w:rsidP="009054F4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sz w:val="18"/>
          <w:szCs w:val="18"/>
        </w:rPr>
      </w:pPr>
      <w:r>
        <w:rPr>
          <w:rFonts w:cs="Times New Roman"/>
          <w:b/>
          <w:bCs/>
          <w:color w:val="000000"/>
          <w:kern w:val="0"/>
          <w:sz w:val="18"/>
          <w:szCs w:val="18"/>
        </w:rPr>
        <w:lastRenderedPageBreak/>
        <w:t xml:space="preserve">ПОСТАНОВЛЕНИЕ ПРАВИТЕЛЬСТВА РОССИЙСКОЙ ФЕДЕРАЦИИ </w:t>
      </w:r>
      <w:r>
        <w:rPr>
          <w:rFonts w:cs="Times New Roman"/>
          <w:color w:val="000000"/>
          <w:kern w:val="0"/>
          <w:sz w:val="18"/>
          <w:szCs w:val="18"/>
        </w:rPr>
        <w:t>от 29 октября 2002 г. №781</w:t>
      </w:r>
    </w:p>
    <w:p w:rsidR="00F463A7" w:rsidRDefault="00F463A7" w:rsidP="00F463A7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color w:val="000000"/>
          <w:kern w:val="0"/>
          <w:sz w:val="18"/>
          <w:szCs w:val="18"/>
        </w:rPr>
        <w:t>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ФЕДЕРАЦИИ, И ОБ УТВЕРЖДЕНИИ ПРАВИЛ ИСЧИСЛЕНИЯ ПЕРИОДОВ РАБОТЫ,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</w:t>
      </w:r>
      <w:bookmarkStart w:id="0" w:name="_GoBack"/>
      <w:bookmarkEnd w:id="0"/>
    </w:p>
    <w:p w:rsidR="00F463A7" w:rsidRDefault="00F463A7" w:rsidP="00F463A7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sz w:val="18"/>
          <w:szCs w:val="18"/>
        </w:rPr>
      </w:pP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color w:val="000000"/>
          <w:kern w:val="0"/>
        </w:rPr>
        <w:t xml:space="preserve">В соответствии со статьей 28 Федерального закона </w:t>
      </w:r>
      <w:r>
        <w:rPr>
          <w:rFonts w:cs="Times New Roman"/>
          <w:color w:val="000000"/>
          <w:kern w:val="0"/>
        </w:rPr>
        <w:t>«</w:t>
      </w:r>
      <w:r w:rsidRPr="00F463A7">
        <w:rPr>
          <w:rFonts w:cs="Times New Roman"/>
          <w:color w:val="000000"/>
          <w:kern w:val="0"/>
        </w:rPr>
        <w:t>О трудовых пенсиях в Российской Федерации</w:t>
      </w:r>
      <w:r>
        <w:rPr>
          <w:rFonts w:cs="Times New Roman"/>
          <w:color w:val="000000"/>
          <w:kern w:val="0"/>
        </w:rPr>
        <w:t>»</w:t>
      </w:r>
      <w:r w:rsidRPr="00F463A7">
        <w:rPr>
          <w:rFonts w:cs="Times New Roman"/>
          <w:color w:val="000000"/>
          <w:kern w:val="0"/>
        </w:rPr>
        <w:t xml:space="preserve"> Правительство Российской Федерации постановляет: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bCs/>
          <w:color w:val="000000"/>
          <w:kern w:val="0"/>
        </w:rPr>
        <w:t xml:space="preserve">1. </w:t>
      </w:r>
      <w:r w:rsidRPr="00F463A7">
        <w:rPr>
          <w:rFonts w:cs="Times New Roman"/>
          <w:color w:val="000000"/>
          <w:kern w:val="0"/>
        </w:rPr>
        <w:t xml:space="preserve">Установить, что при досрочном назначении указанным ниже лицам трудовой пенсии по старости в соответствии с подпунктами 7, 8 и 12 пункта 1 статьи 28 Федерального закона "О трудовых пенсиях в Российской Федерации" применяются следующие списки работ, профессий и должностей и перечни должностей и специальностей, утвержденные Советом Министров РСФСР и Правительством Российской Федерации: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bCs/>
          <w:color w:val="000000"/>
          <w:kern w:val="0"/>
        </w:rPr>
        <w:t xml:space="preserve">а) </w:t>
      </w:r>
      <w:r w:rsidRPr="00F463A7">
        <w:rPr>
          <w:rFonts w:cs="Times New Roman"/>
          <w:color w:val="000000"/>
          <w:kern w:val="0"/>
        </w:rPr>
        <w:t xml:space="preserve">лицам, проработавшим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перечни 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 1 октября 2001 г. 702 (Собрание законодательства Российской Федерации, 2001, 41, ст. 3958);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bCs/>
          <w:color w:val="000000"/>
          <w:kern w:val="0"/>
        </w:rPr>
        <w:t xml:space="preserve">б) </w:t>
      </w:r>
      <w:r w:rsidRPr="00F463A7">
        <w:rPr>
          <w:rFonts w:cs="Times New Roman"/>
          <w:color w:val="000000"/>
          <w:kern w:val="0"/>
        </w:rPr>
        <w:t xml:space="preserve">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 лишения свободы, список работ, профессий и должностей работников учреждений, исполняющих уголовные наказания в виде лишения свободы, занятых на работах с осужденными, утвержденный постановлением Правительства Российской Федерации от 3 февраля 1994 г. 85 (Собрание актов Президента и Правительства Российской Федерации, 1994, 7, ст. 509; Собрание законодательства Российской Федерации, 1996, 36, ст. 4240);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bCs/>
          <w:color w:val="000000"/>
          <w:kern w:val="0"/>
        </w:rPr>
        <w:t xml:space="preserve">в) </w:t>
      </w:r>
      <w:r w:rsidRPr="00F463A7">
        <w:rPr>
          <w:rFonts w:cs="Times New Roman"/>
          <w:color w:val="000000"/>
          <w:kern w:val="0"/>
        </w:rPr>
        <w:t xml:space="preserve">лицам, осуществлявшим творческую деятельность на сцене в государственных и муниципальных театрах или театрально-зрелищных организациях (в зависимости от характера такой деятельности), список профессий и должностей работников театров и других театрально-зрелищных предприятий и коллективов, утвержденный постановлением Совета Министров РСФСР от 28 августа 1991 г. 447 (Собрание актов Президента и Правительства Российской Федерации, 1993, 39, ст. 3625).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bCs/>
          <w:color w:val="000000"/>
          <w:kern w:val="0"/>
        </w:rPr>
        <w:t xml:space="preserve">2. </w:t>
      </w:r>
      <w:r w:rsidRPr="00F463A7">
        <w:rPr>
          <w:rFonts w:cs="Times New Roman"/>
          <w:color w:val="000000"/>
          <w:kern w:val="0"/>
        </w:rPr>
        <w:t xml:space="preserve">Утвердить прилагаемые: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color w:val="000000"/>
          <w:kern w:val="0"/>
        </w:rPr>
        <w:t>а)</w:t>
      </w:r>
      <w:r>
        <w:rPr>
          <w:rFonts w:cs="Times New Roman"/>
          <w:color w:val="000000"/>
          <w:kern w:val="0"/>
        </w:rPr>
        <w:t xml:space="preserve"> </w:t>
      </w:r>
      <w:r w:rsidRPr="00F463A7">
        <w:rPr>
          <w:rFonts w:cs="Times New Roman"/>
          <w:color w:val="000000"/>
          <w:kern w:val="0"/>
        </w:rPr>
        <w:t xml:space="preserve"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детей, в соответствии с подпунктом 10 пункта 1 статьи 28 Федерального закона "О трудовых пенсиях в Российской Федерации";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color w:val="000000"/>
          <w:kern w:val="0"/>
        </w:rPr>
        <w:t>б)</w:t>
      </w:r>
      <w:r>
        <w:rPr>
          <w:rFonts w:cs="Times New Roman"/>
          <w:b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п</w:t>
      </w:r>
      <w:r w:rsidRPr="00F463A7">
        <w:rPr>
          <w:rFonts w:cs="Times New Roman"/>
          <w:color w:val="000000"/>
          <w:kern w:val="0"/>
        </w:rPr>
        <w:t xml:space="preserve">равила исчисления периодов работы, дающей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детей, в соответствии с подпунктом 10 пункта 1 статьи 28 Федерального закона "О трудовых пенсиях в Российской Федерации";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color w:val="000000"/>
          <w:kern w:val="0"/>
        </w:rPr>
        <w:t>в)</w:t>
      </w:r>
      <w:r>
        <w:rPr>
          <w:rFonts w:cs="Times New Roman"/>
          <w:color w:val="000000"/>
          <w:kern w:val="0"/>
        </w:rPr>
        <w:t xml:space="preserve"> </w:t>
      </w:r>
      <w:r w:rsidRPr="00F463A7">
        <w:rPr>
          <w:rFonts w:cs="Times New Roman"/>
          <w:color w:val="000000"/>
          <w:kern w:val="0"/>
        </w:rPr>
        <w:t xml:space="preserve"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государственных и муниципальных учреждениях здравоохранения, в соответствии с </w:t>
      </w:r>
      <w:r w:rsidRPr="00F463A7">
        <w:rPr>
          <w:rFonts w:cs="Times New Roman"/>
          <w:color w:val="000000"/>
          <w:kern w:val="0"/>
        </w:rPr>
        <w:lastRenderedPageBreak/>
        <w:t xml:space="preserve">подпунктом 11 пункта 1 статьи 28 Федерального закона "О трудовых пенсиях в Российской Федерации"; </w:t>
      </w:r>
    </w:p>
    <w:p w:rsidR="00F463A7" w:rsidRPr="00F463A7" w:rsidRDefault="00F463A7" w:rsidP="00F463A7">
      <w:pPr>
        <w:widowControl/>
        <w:suppressAutoHyphens w:val="0"/>
        <w:autoSpaceDE w:val="0"/>
        <w:ind w:firstLine="284"/>
        <w:jc w:val="both"/>
        <w:textAlignment w:val="auto"/>
      </w:pPr>
      <w:r w:rsidRPr="00F463A7">
        <w:rPr>
          <w:rFonts w:cs="Times New Roman"/>
          <w:b/>
          <w:color w:val="000000"/>
          <w:kern w:val="0"/>
        </w:rPr>
        <w:t>г)</w:t>
      </w:r>
      <w:r>
        <w:rPr>
          <w:rFonts w:cs="Times New Roman"/>
          <w:color w:val="000000"/>
          <w:kern w:val="0"/>
        </w:rPr>
        <w:t xml:space="preserve"> п</w:t>
      </w:r>
      <w:r w:rsidRPr="00F463A7">
        <w:rPr>
          <w:rFonts w:cs="Times New Roman"/>
          <w:color w:val="000000"/>
          <w:kern w:val="0"/>
        </w:rPr>
        <w:t xml:space="preserve">равила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государственных и муниципальных учреждениях здравоохранения, </w:t>
      </w:r>
      <w:r w:rsidRPr="00F463A7">
        <w:rPr>
          <w:rFonts w:cs="Times New Roman"/>
          <w:i/>
          <w:iCs/>
          <w:color w:val="000000"/>
          <w:kern w:val="0"/>
        </w:rPr>
        <w:t xml:space="preserve">в </w:t>
      </w:r>
      <w:r w:rsidRPr="00F463A7">
        <w:rPr>
          <w:rFonts w:cs="Times New Roman"/>
          <w:color w:val="000000"/>
          <w:kern w:val="0"/>
        </w:rPr>
        <w:t xml:space="preserve">соответствии с подпунктом 11 пункта 1 статьи 28 Федерального закона "О трудовых пенсиях в Российской Федерации". </w:t>
      </w:r>
    </w:p>
    <w:p w:rsidR="00F463A7" w:rsidRDefault="00F463A7" w:rsidP="00F463A7">
      <w:pPr>
        <w:pageBreakBefore/>
        <w:widowControl/>
        <w:suppressAutoHyphens w:val="0"/>
        <w:autoSpaceDE w:val="0"/>
        <w:jc w:val="right"/>
        <w:textAlignment w:val="auto"/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lastRenderedPageBreak/>
        <w:t xml:space="preserve">Председатель Правительства Российской Федерации М. КАСЬЯНОВ </w:t>
      </w:r>
    </w:p>
    <w:p w:rsidR="00F463A7" w:rsidRDefault="00F463A7" w:rsidP="00F463A7">
      <w:pPr>
        <w:widowControl/>
        <w:suppressAutoHyphens w:val="0"/>
        <w:autoSpaceDE w:val="0"/>
        <w:jc w:val="right"/>
        <w:textAlignment w:val="auto"/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 xml:space="preserve">УТВЕРЖДАЮ </w:t>
      </w:r>
    </w:p>
    <w:p w:rsidR="00F463A7" w:rsidRDefault="00F463A7" w:rsidP="00F463A7">
      <w:pPr>
        <w:widowControl/>
        <w:suppressAutoHyphens w:val="0"/>
        <w:autoSpaceDE w:val="0"/>
        <w:jc w:val="right"/>
        <w:textAlignment w:val="auto"/>
        <w:rPr>
          <w:rFonts w:cs="Times New Roman"/>
          <w:color w:val="000000"/>
          <w:kern w:val="0"/>
          <w:sz w:val="20"/>
          <w:szCs w:val="20"/>
        </w:rPr>
      </w:pPr>
      <w:r>
        <w:rPr>
          <w:rFonts w:cs="Times New Roman"/>
          <w:color w:val="000000"/>
          <w:kern w:val="0"/>
          <w:sz w:val="20"/>
          <w:szCs w:val="20"/>
        </w:rPr>
        <w:t xml:space="preserve">Постановлением Правительства РФ </w:t>
      </w:r>
    </w:p>
    <w:p w:rsidR="00F463A7" w:rsidRDefault="00F463A7" w:rsidP="00F463A7">
      <w:pPr>
        <w:widowControl/>
        <w:suppressAutoHyphens w:val="0"/>
        <w:autoSpaceDE w:val="0"/>
        <w:jc w:val="right"/>
        <w:textAlignment w:val="auto"/>
        <w:rPr>
          <w:rFonts w:cs="Times New Roman"/>
          <w:color w:val="000000"/>
          <w:kern w:val="0"/>
          <w:sz w:val="20"/>
          <w:szCs w:val="20"/>
        </w:rPr>
      </w:pPr>
      <w:r>
        <w:rPr>
          <w:rFonts w:cs="Times New Roman"/>
          <w:color w:val="000000"/>
          <w:kern w:val="0"/>
          <w:sz w:val="20"/>
          <w:szCs w:val="20"/>
        </w:rPr>
        <w:t xml:space="preserve">от 29 октября 2002 г. №781 </w:t>
      </w:r>
    </w:p>
    <w:p w:rsidR="00F463A7" w:rsidRDefault="00F463A7" w:rsidP="00F463A7">
      <w:pPr>
        <w:widowControl/>
        <w:suppressAutoHyphens w:val="0"/>
        <w:autoSpaceDE w:val="0"/>
        <w:jc w:val="right"/>
        <w:textAlignment w:val="auto"/>
        <w:rPr>
          <w:rFonts w:cs="Times New Roman"/>
          <w:color w:val="000000"/>
          <w:kern w:val="0"/>
          <w:sz w:val="20"/>
          <w:szCs w:val="20"/>
        </w:rPr>
      </w:pPr>
    </w:p>
    <w:p w:rsidR="00F463A7" w:rsidRDefault="00F463A7" w:rsidP="00F463A7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>СПИСОК ДОЛЖНОСТЕЙ И УЧРЕЖДЕНИЙ, РАБОТА В КОТОРЫХ ЗАСЧИТЫВАЕТСЯ В СТАЖ РАБОТЫ, ДАЮЩЕЙ ПРАВО НА ДОСРОЧНОЕ НАЗНАЧЕНИЕ ТРУДОВОЙ ПЕНСИИ</w:t>
      </w:r>
    </w:p>
    <w:p w:rsidR="00F463A7" w:rsidRDefault="00F463A7" w:rsidP="00F463A7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color w:val="000000"/>
          <w:kern w:val="0"/>
          <w:sz w:val="20"/>
          <w:szCs w:val="20"/>
        </w:rPr>
        <w:t>ПО СТАРОСТИ ЛИЦАМ, ОСУЩЕСТВЛЯВШИМ ПЕДАГОГИЧЕСКУЮ ДЕЯТЕЛЬНОСТЬ В ГОСУДАРСТВЕННЫХ И МУНИЦИПАЛЬНЫХ УЧРЕЖДЕНИЯХ ДЛЯ ДЕТЕЙ, В СООТВЕТСТВИИ С ПОДПУНКТОМ 10 ПУНКТА 1 СТАТЬИ 28 ФЕДЕРАЛЬНОГО ЗАКОНА "О ТРУДОВЫХ ПЕНСИЯХ В РОССИЙСКОЙ ФЕДЕРАЦИИ"</w:t>
      </w:r>
    </w:p>
    <w:p w:rsidR="00F463A7" w:rsidRDefault="00F463A7" w:rsidP="00F463A7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sz w:val="20"/>
          <w:szCs w:val="20"/>
        </w:rPr>
      </w:pP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1.Наименование должностей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sz w:val="22"/>
          <w:szCs w:val="22"/>
        </w:rPr>
        <w:t xml:space="preserve">Директор (начальник, заведующий); заместитель директора (начальника, заведующего), деятельность которого связана с образовательным (воспитательным) процессом; заведующий учебной частью; помощник директора по режиму; старший дежурный по режиму; дежурный по режиму; преподаватель; старший преподаватель; воспитатель; старший воспитатель; воспитатель-методист; организатор внеклассной и внешкольной воспитательной работы с детьми; мастер производственного обучения; учитель; учитель-логопед; логопед; инструктор слухового кабинета; учитель-дефектолог; руководитель физического воспитания: музыкальный руководитель; преподаватель-организатор основ безопасности жизнедеятельности (допризывной подготовки); руководитель допризывной подготовки молодежи; военный руководитель; социальный педагог; педагог-психолог; инструктор по труду; медсестра ясельной группы; педагог; родитель-воспитатель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 Наименование учреждений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2.1. </w:t>
      </w:r>
      <w:r>
        <w:rPr>
          <w:rFonts w:cs="Times New Roman"/>
          <w:color w:val="000000"/>
          <w:kern w:val="0"/>
          <w:sz w:val="22"/>
          <w:szCs w:val="22"/>
        </w:rPr>
        <w:t xml:space="preserve">Общеобразовательные учреждения; школы всех наименований; лицей; гимназия; центр образования; кадетская школа; суворовское военное училище; нахимовское военно-морское училище; кадетский корпус; морской кадетский корпус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2.2. </w:t>
      </w:r>
      <w:r>
        <w:rPr>
          <w:rFonts w:cs="Times New Roman"/>
          <w:color w:val="000000"/>
          <w:kern w:val="0"/>
          <w:sz w:val="22"/>
          <w:szCs w:val="22"/>
        </w:rPr>
        <w:t xml:space="preserve">Общеобразовательные школы-интернаты: школы-интернаты всех наименований; лицей-интернат; гимназия-интернат; школа-интернат с первоначальной летной подготовкой; кадетская школа-интернат; интернаты при общеобразовательных школах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2.3. </w:t>
      </w:r>
      <w:r>
        <w:rPr>
          <w:rFonts w:cs="Times New Roman"/>
          <w:color w:val="000000"/>
          <w:kern w:val="0"/>
          <w:sz w:val="22"/>
          <w:szCs w:val="22"/>
        </w:rPr>
        <w:t xml:space="preserve">Образовательные учреждения для детей-сирот и детей, оставшихся без попечения родителей: школа-интернат, в том числе специальная(коррекционная) для детей с отклонениями в развитии; детский дом, в том числе санаторный, специальный (коррекционный) для детей с отклонениями в развитии; детский дом-школа; детский дом семейного типа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2.4. </w:t>
      </w:r>
      <w:r>
        <w:rPr>
          <w:rFonts w:cs="Times New Roman"/>
          <w:color w:val="000000"/>
          <w:kern w:val="0"/>
          <w:sz w:val="22"/>
          <w:szCs w:val="22"/>
        </w:rPr>
        <w:t xml:space="preserve">Оздоровительные образовательные учреждения санаторного типа для детей, нуждающихся в длительном лечении: санаторная школа-интернат; санаторно-лесная школа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2.5. </w:t>
      </w:r>
      <w:r>
        <w:rPr>
          <w:rFonts w:cs="Times New Roman"/>
          <w:color w:val="000000"/>
          <w:kern w:val="0"/>
          <w:sz w:val="22"/>
          <w:szCs w:val="22"/>
        </w:rPr>
        <w:t>Специальные (коррекционные) образовательные учреждения для обучающихся (воспитанников) с отклонениями в развитии</w:t>
      </w:r>
      <w:r>
        <w:rPr>
          <w:rFonts w:cs="Times New Roman"/>
          <w:color w:val="000000"/>
          <w:kern w:val="0"/>
          <w:sz w:val="14"/>
          <w:szCs w:val="14"/>
        </w:rPr>
        <w:t>*</w:t>
      </w:r>
      <w:r>
        <w:rPr>
          <w:rFonts w:cs="Times New Roman"/>
          <w:color w:val="000000"/>
          <w:kern w:val="0"/>
          <w:sz w:val="22"/>
          <w:szCs w:val="22"/>
        </w:rPr>
        <w:t xml:space="preserve">: детский сад; начальная школа (школа) - детский сад; школа; школа-интернат; училище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2.6. </w:t>
      </w:r>
      <w:r>
        <w:rPr>
          <w:rFonts w:cs="Times New Roman"/>
          <w:color w:val="000000"/>
          <w:kern w:val="0"/>
          <w:sz w:val="22"/>
          <w:szCs w:val="22"/>
        </w:rPr>
        <w:t xml:space="preserve">Специальные учебно-воспитательные учреждения открытого и закрытого типа: школа, в том числе коррекционная закрытого типа; училище, в том числе коррекционное закрытого типа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2.7. </w:t>
      </w:r>
      <w:r>
        <w:rPr>
          <w:rFonts w:cs="Times New Roman"/>
          <w:color w:val="000000"/>
          <w:kern w:val="0"/>
          <w:sz w:val="22"/>
          <w:szCs w:val="22"/>
        </w:rPr>
        <w:t xml:space="preserve">Образовательные учреждения для детей дошкольного и младшего школьного возраста: начальная школа (школа - детский сад), в том числе компенсирующего вида; прогимназия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2.8. </w:t>
      </w:r>
      <w:r>
        <w:rPr>
          <w:rFonts w:cs="Times New Roman"/>
          <w:color w:val="000000"/>
          <w:kern w:val="0"/>
          <w:sz w:val="22"/>
          <w:szCs w:val="22"/>
        </w:rPr>
        <w:t xml:space="preserve">Дошкольные образовательные учреждения: детские сады всех наименований; центр развития ребенка - детский сад; ясли-сад (сад-ясли); детские ясли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2.9. </w:t>
      </w:r>
      <w:r>
        <w:rPr>
          <w:rFonts w:cs="Times New Roman"/>
          <w:color w:val="000000"/>
          <w:kern w:val="0"/>
          <w:sz w:val="22"/>
          <w:szCs w:val="22"/>
        </w:rPr>
        <w:t xml:space="preserve">Учреждения начального профессионального образования: училища всех видов и наименований, в том числе училище-интернат; лицей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2.10. </w:t>
      </w:r>
      <w:r>
        <w:rPr>
          <w:rFonts w:cs="Times New Roman"/>
          <w:color w:val="000000"/>
          <w:kern w:val="0"/>
          <w:sz w:val="22"/>
          <w:szCs w:val="22"/>
        </w:rPr>
        <w:t xml:space="preserve">Образовательные учреждения среднего профессионального образования (средние специальные учебные заведения): техникумы всех наименований, в том числе техникум-интернат и техникум-предприятие; училища всех наименований, в том числе училище-интернат; колледжи всех наименований, в том числе колледж-интернат; технический лицей; музыкальная школа, в том числе музыкальная школа-лицей; художественная школа, в том числе художественная школа-лицей; школа-студия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2.11. </w:t>
      </w:r>
      <w:r>
        <w:rPr>
          <w:rFonts w:cs="Times New Roman"/>
          <w:color w:val="000000"/>
          <w:kern w:val="0"/>
          <w:sz w:val="22"/>
          <w:szCs w:val="22"/>
        </w:rPr>
        <w:t xml:space="preserve">Образовательные учреждения для детей, нуждающихся в психолого-педагогической и медико-социальной помощи: центр диагностики и консультирования; центр психолого-медико-социального сопровождения; центр психолого-педагогической реабилитации и коррекции; центр </w:t>
      </w:r>
      <w:r>
        <w:rPr>
          <w:rFonts w:cs="Times New Roman"/>
          <w:color w:val="000000"/>
          <w:kern w:val="0"/>
          <w:sz w:val="22"/>
          <w:szCs w:val="22"/>
        </w:rPr>
        <w:lastRenderedPageBreak/>
        <w:t xml:space="preserve">социально-трудовой адаптации и профориентации; центр лечебной педагогики и дифференцированного обучения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2.12. </w:t>
      </w:r>
      <w:r>
        <w:rPr>
          <w:rFonts w:cs="Times New Roman"/>
          <w:color w:val="000000"/>
          <w:kern w:val="0"/>
          <w:sz w:val="22"/>
          <w:szCs w:val="22"/>
        </w:rPr>
        <w:t xml:space="preserve">Другие образовательные учреждения для детей: межшкольный учебно-производственный комбинат трудового обучения и профессиональной ориентации учащихся (межшкольный учебный комбинат)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2.13. </w:t>
      </w:r>
      <w:r>
        <w:rPr>
          <w:rFonts w:cs="Times New Roman"/>
          <w:color w:val="000000"/>
          <w:kern w:val="0"/>
          <w:sz w:val="22"/>
          <w:szCs w:val="22"/>
        </w:rPr>
        <w:t xml:space="preserve">Учреждения социального обслуживания: реабилитационный центр для детей и подростков с ограниченными возможностями; социально-реабилитационный центр для несовершеннолетних; социальный приют для детей и подростков; центр помощи детям, оставшимся без попечения родителей; детский дом-интернат для умственно отсталых детей; детский дом-интернат для детей с физическими недостатками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2.14. </w:t>
      </w:r>
      <w:r>
        <w:rPr>
          <w:rFonts w:cs="Times New Roman"/>
          <w:color w:val="000000"/>
          <w:kern w:val="0"/>
          <w:sz w:val="22"/>
          <w:szCs w:val="22"/>
        </w:rPr>
        <w:t xml:space="preserve">Учреждения здравоохранения: дом ребенка, в том числе специализированный; детские санатории всех наименований: для лечения туберкулеза всех форм; для больных с последствиями полиомиелита; для гематологических больных; для лечения больных с нарушениями опорно-двигательного аппарата; для больных ревматизмом; психоневрологические.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3. Наименование должностей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sz w:val="22"/>
          <w:szCs w:val="22"/>
        </w:rPr>
        <w:t xml:space="preserve">Директор (начальник, заведующий); заместитель директора (начальника, заведующего), деятельность которого связана с образовательным (воспитательным) процессом; преподаватель; тренер-преподаватель; старший тренер-преподаватель; тренер-преподаватель по адаптивной физической культуре; старший тренер-преподаватель по адаптивной физической культуре; педагог дополнительного образования.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4. Наименование учреждений </w:t>
      </w:r>
    </w:p>
    <w:p w:rsidR="00F463A7" w:rsidRDefault="00F463A7" w:rsidP="00F463A7">
      <w:pPr>
        <w:pStyle w:val="a3"/>
        <w:widowControl/>
        <w:suppressAutoHyphens w:val="0"/>
        <w:autoSpaceDE w:val="0"/>
        <w:ind w:left="0"/>
        <w:jc w:val="both"/>
        <w:textAlignment w:val="auto"/>
      </w:pPr>
      <w:r>
        <w:rPr>
          <w:rFonts w:cs="Times New Roman"/>
          <w:color w:val="000000"/>
          <w:kern w:val="0"/>
          <w:sz w:val="22"/>
          <w:szCs w:val="22"/>
        </w:rPr>
        <w:t xml:space="preserve">Учреждения дополнительного образования детей (внешкольные учреждения): центр дополнительного образования для детей, развития творчества детей и юношества, творческого развития и гуманитарного образования, детско-юношеский, детского творчества, детский (подростковый), внешкольной работы, детский экологический (оздоровительно-экологический, эколого-биологический), детского (юношеского) технического творчества (научно-технического, юных техников), детский морской, детский (юношеский), эстетического воспитания детей (культуры, искусств или по видам искусств), детский оздоровительно-образовательный (профильный); Дворец детского (юношеского) творчества, творчества детей и молодежи, учащейся молодежи, пионеров и школьников, юных натуралистов, спорта для детей и юношества, художественного творчества(воспитания) детей, детский культуры (искусств); Дом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детский культуры (искусств); станция юных натуралистов, детского (юношеского) технического творчества(научно-технического, юных техников), детская экологическая(эколого-биологическая), детского и юношеского туризма и экскурсий (юных туристов); детская школа искусств, в том числе по виду (видам) искусств; детско-юношеские спортивные школы всех наименований; специализированная детско-юношеская спортивная школа олимпийского резерва; детско-юношеские спортивно-адаптивные школы всех наименований. </w:t>
      </w:r>
    </w:p>
    <w:p w:rsidR="00F463A7" w:rsidRDefault="00F463A7" w:rsidP="00F463A7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F463A7" w:rsidTr="00F463A7">
        <w:trPr>
          <w:trHeight w:val="195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A7" w:rsidRDefault="00F463A7" w:rsidP="00835746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F463A7">
              <w:rPr>
                <w:rFonts w:cs="Times New Roman"/>
                <w:b/>
                <w:color w:val="000000"/>
                <w:kern w:val="0"/>
                <w:sz w:val="40"/>
                <w:szCs w:val="40"/>
              </w:rPr>
              <w:t>*</w:t>
            </w:r>
            <w:r w:rsidRPr="00F463A7">
              <w:rPr>
                <w:rFonts w:cs="Times New Roman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2"/>
                <w:szCs w:val="22"/>
              </w:rPr>
              <w:t xml:space="preserve">В названии специального (коррекционного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«I вида», «II вида», «III вида», «IV вида», «V вида», «VI вида», «VII вида», «VIII вида». </w:t>
            </w:r>
          </w:p>
          <w:p w:rsidR="00F463A7" w:rsidRDefault="00F463A7" w:rsidP="00835746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F463A7" w:rsidRDefault="00F463A7"/>
    <w:sectPr w:rsidR="00F4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69"/>
    <w:multiLevelType w:val="multilevel"/>
    <w:tmpl w:val="4A3C3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39748C9"/>
    <w:multiLevelType w:val="hybridMultilevel"/>
    <w:tmpl w:val="1EFA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5"/>
    <w:rsid w:val="00020A4D"/>
    <w:rsid w:val="0003636A"/>
    <w:rsid w:val="00037266"/>
    <w:rsid w:val="0004360B"/>
    <w:rsid w:val="00047E4E"/>
    <w:rsid w:val="00051866"/>
    <w:rsid w:val="00062F10"/>
    <w:rsid w:val="00071D80"/>
    <w:rsid w:val="0007457B"/>
    <w:rsid w:val="00097959"/>
    <w:rsid w:val="000A1F61"/>
    <w:rsid w:val="000C59F2"/>
    <w:rsid w:val="000C5EA2"/>
    <w:rsid w:val="000C748B"/>
    <w:rsid w:val="000E5C1F"/>
    <w:rsid w:val="000E798C"/>
    <w:rsid w:val="00101BDE"/>
    <w:rsid w:val="001051FE"/>
    <w:rsid w:val="00107AF4"/>
    <w:rsid w:val="00115F0F"/>
    <w:rsid w:val="00127E79"/>
    <w:rsid w:val="00132ED5"/>
    <w:rsid w:val="0013583E"/>
    <w:rsid w:val="0016568E"/>
    <w:rsid w:val="0017453E"/>
    <w:rsid w:val="0019681E"/>
    <w:rsid w:val="001A43AD"/>
    <w:rsid w:val="001B2798"/>
    <w:rsid w:val="001D31CF"/>
    <w:rsid w:val="001D5694"/>
    <w:rsid w:val="001F59B7"/>
    <w:rsid w:val="00207C26"/>
    <w:rsid w:val="0021293C"/>
    <w:rsid w:val="002258EE"/>
    <w:rsid w:val="002308AB"/>
    <w:rsid w:val="00241CAE"/>
    <w:rsid w:val="0024540C"/>
    <w:rsid w:val="00273AC3"/>
    <w:rsid w:val="00292121"/>
    <w:rsid w:val="002A12B3"/>
    <w:rsid w:val="002B277D"/>
    <w:rsid w:val="002B389F"/>
    <w:rsid w:val="002C3CAE"/>
    <w:rsid w:val="002C68FB"/>
    <w:rsid w:val="002C6B56"/>
    <w:rsid w:val="002D4AAB"/>
    <w:rsid w:val="002E0117"/>
    <w:rsid w:val="00300A25"/>
    <w:rsid w:val="003015AC"/>
    <w:rsid w:val="00304F54"/>
    <w:rsid w:val="00310095"/>
    <w:rsid w:val="00317723"/>
    <w:rsid w:val="0031776B"/>
    <w:rsid w:val="00320C24"/>
    <w:rsid w:val="003444F0"/>
    <w:rsid w:val="0035579B"/>
    <w:rsid w:val="003618F1"/>
    <w:rsid w:val="00362E2E"/>
    <w:rsid w:val="00363DB9"/>
    <w:rsid w:val="00372FC6"/>
    <w:rsid w:val="00382D13"/>
    <w:rsid w:val="00391008"/>
    <w:rsid w:val="003947CA"/>
    <w:rsid w:val="003B08E8"/>
    <w:rsid w:val="003B7351"/>
    <w:rsid w:val="003C0CEA"/>
    <w:rsid w:val="003E1AD7"/>
    <w:rsid w:val="003E497C"/>
    <w:rsid w:val="003E6012"/>
    <w:rsid w:val="003F46C1"/>
    <w:rsid w:val="00400A87"/>
    <w:rsid w:val="00413672"/>
    <w:rsid w:val="004136F6"/>
    <w:rsid w:val="00423F30"/>
    <w:rsid w:val="004304AF"/>
    <w:rsid w:val="0043100D"/>
    <w:rsid w:val="00432A13"/>
    <w:rsid w:val="00432ACD"/>
    <w:rsid w:val="00447EE5"/>
    <w:rsid w:val="00473DB4"/>
    <w:rsid w:val="00474186"/>
    <w:rsid w:val="00477F97"/>
    <w:rsid w:val="00493381"/>
    <w:rsid w:val="00494C01"/>
    <w:rsid w:val="004A1B2D"/>
    <w:rsid w:val="004B1928"/>
    <w:rsid w:val="004B23BF"/>
    <w:rsid w:val="004C2DCF"/>
    <w:rsid w:val="004C456B"/>
    <w:rsid w:val="004C46FD"/>
    <w:rsid w:val="004C4A39"/>
    <w:rsid w:val="004D0BE6"/>
    <w:rsid w:val="004F6B1C"/>
    <w:rsid w:val="00506CF1"/>
    <w:rsid w:val="00510E21"/>
    <w:rsid w:val="0051387C"/>
    <w:rsid w:val="00533D82"/>
    <w:rsid w:val="005340EC"/>
    <w:rsid w:val="00553060"/>
    <w:rsid w:val="00553E85"/>
    <w:rsid w:val="00562622"/>
    <w:rsid w:val="00575191"/>
    <w:rsid w:val="0058605E"/>
    <w:rsid w:val="005A0F4F"/>
    <w:rsid w:val="005C0392"/>
    <w:rsid w:val="005C1305"/>
    <w:rsid w:val="005C32E8"/>
    <w:rsid w:val="005C520F"/>
    <w:rsid w:val="005D4D35"/>
    <w:rsid w:val="005E175F"/>
    <w:rsid w:val="006025B7"/>
    <w:rsid w:val="00604A07"/>
    <w:rsid w:val="00605A43"/>
    <w:rsid w:val="00605BEF"/>
    <w:rsid w:val="0061202F"/>
    <w:rsid w:val="006260C3"/>
    <w:rsid w:val="00642176"/>
    <w:rsid w:val="006611A9"/>
    <w:rsid w:val="00671096"/>
    <w:rsid w:val="00677858"/>
    <w:rsid w:val="00693B59"/>
    <w:rsid w:val="00696386"/>
    <w:rsid w:val="006B0B50"/>
    <w:rsid w:val="006C53D4"/>
    <w:rsid w:val="006C5E0B"/>
    <w:rsid w:val="006F52B2"/>
    <w:rsid w:val="00727D3C"/>
    <w:rsid w:val="00733334"/>
    <w:rsid w:val="00735306"/>
    <w:rsid w:val="00746AD7"/>
    <w:rsid w:val="00772566"/>
    <w:rsid w:val="00774B8B"/>
    <w:rsid w:val="00790F9B"/>
    <w:rsid w:val="00793319"/>
    <w:rsid w:val="007A0724"/>
    <w:rsid w:val="007B42B8"/>
    <w:rsid w:val="007B45F4"/>
    <w:rsid w:val="007D0447"/>
    <w:rsid w:val="007D518F"/>
    <w:rsid w:val="007E0188"/>
    <w:rsid w:val="00813593"/>
    <w:rsid w:val="0081768B"/>
    <w:rsid w:val="008207AE"/>
    <w:rsid w:val="008336E4"/>
    <w:rsid w:val="00851C55"/>
    <w:rsid w:val="00857457"/>
    <w:rsid w:val="00862EA4"/>
    <w:rsid w:val="008632C9"/>
    <w:rsid w:val="008768F4"/>
    <w:rsid w:val="008C5C20"/>
    <w:rsid w:val="008D2A9F"/>
    <w:rsid w:val="008F392F"/>
    <w:rsid w:val="00901626"/>
    <w:rsid w:val="009054F4"/>
    <w:rsid w:val="00915EFF"/>
    <w:rsid w:val="00917E05"/>
    <w:rsid w:val="00944141"/>
    <w:rsid w:val="0096226E"/>
    <w:rsid w:val="00975C77"/>
    <w:rsid w:val="0099056D"/>
    <w:rsid w:val="009A3891"/>
    <w:rsid w:val="009C7DF8"/>
    <w:rsid w:val="009D1EF3"/>
    <w:rsid w:val="009D4F85"/>
    <w:rsid w:val="009D5E80"/>
    <w:rsid w:val="009E523F"/>
    <w:rsid w:val="009E58ED"/>
    <w:rsid w:val="00A30689"/>
    <w:rsid w:val="00A4379A"/>
    <w:rsid w:val="00A53562"/>
    <w:rsid w:val="00A719EC"/>
    <w:rsid w:val="00A73020"/>
    <w:rsid w:val="00A80206"/>
    <w:rsid w:val="00A81490"/>
    <w:rsid w:val="00A835E7"/>
    <w:rsid w:val="00A848D4"/>
    <w:rsid w:val="00A93382"/>
    <w:rsid w:val="00AA45C1"/>
    <w:rsid w:val="00AC71CE"/>
    <w:rsid w:val="00AE0FDA"/>
    <w:rsid w:val="00AE5C89"/>
    <w:rsid w:val="00B020EC"/>
    <w:rsid w:val="00B038C1"/>
    <w:rsid w:val="00B235F5"/>
    <w:rsid w:val="00B35815"/>
    <w:rsid w:val="00B61C14"/>
    <w:rsid w:val="00B83157"/>
    <w:rsid w:val="00B96D94"/>
    <w:rsid w:val="00BB0711"/>
    <w:rsid w:val="00BB1BDB"/>
    <w:rsid w:val="00BB6C42"/>
    <w:rsid w:val="00BC3C28"/>
    <w:rsid w:val="00BC5479"/>
    <w:rsid w:val="00BD29AD"/>
    <w:rsid w:val="00BD7CF2"/>
    <w:rsid w:val="00BE1DAD"/>
    <w:rsid w:val="00BE6B31"/>
    <w:rsid w:val="00BF0FED"/>
    <w:rsid w:val="00BF48AF"/>
    <w:rsid w:val="00BF6D10"/>
    <w:rsid w:val="00C2395D"/>
    <w:rsid w:val="00C37FC6"/>
    <w:rsid w:val="00C47760"/>
    <w:rsid w:val="00C55D2E"/>
    <w:rsid w:val="00C636FD"/>
    <w:rsid w:val="00C639B7"/>
    <w:rsid w:val="00C63E4F"/>
    <w:rsid w:val="00C71088"/>
    <w:rsid w:val="00C80C85"/>
    <w:rsid w:val="00CA6BD4"/>
    <w:rsid w:val="00CB2A26"/>
    <w:rsid w:val="00CD5D1A"/>
    <w:rsid w:val="00CE19A2"/>
    <w:rsid w:val="00D03EC2"/>
    <w:rsid w:val="00D07CB2"/>
    <w:rsid w:val="00D33666"/>
    <w:rsid w:val="00D542EF"/>
    <w:rsid w:val="00D65FFE"/>
    <w:rsid w:val="00D71A2D"/>
    <w:rsid w:val="00DA0212"/>
    <w:rsid w:val="00DA0E88"/>
    <w:rsid w:val="00DA6205"/>
    <w:rsid w:val="00DB05AD"/>
    <w:rsid w:val="00DC4E2A"/>
    <w:rsid w:val="00DC656B"/>
    <w:rsid w:val="00DF452F"/>
    <w:rsid w:val="00DF5442"/>
    <w:rsid w:val="00E11076"/>
    <w:rsid w:val="00E15320"/>
    <w:rsid w:val="00E27220"/>
    <w:rsid w:val="00E3404D"/>
    <w:rsid w:val="00E3527D"/>
    <w:rsid w:val="00E36827"/>
    <w:rsid w:val="00E4225A"/>
    <w:rsid w:val="00E66418"/>
    <w:rsid w:val="00EA08DC"/>
    <w:rsid w:val="00EA5512"/>
    <w:rsid w:val="00EA6834"/>
    <w:rsid w:val="00EB5228"/>
    <w:rsid w:val="00EC4C8F"/>
    <w:rsid w:val="00EC7C4B"/>
    <w:rsid w:val="00ED003A"/>
    <w:rsid w:val="00EE611A"/>
    <w:rsid w:val="00F02B03"/>
    <w:rsid w:val="00F04FAE"/>
    <w:rsid w:val="00F109CE"/>
    <w:rsid w:val="00F16A54"/>
    <w:rsid w:val="00F41D75"/>
    <w:rsid w:val="00F463A7"/>
    <w:rsid w:val="00F53F2F"/>
    <w:rsid w:val="00F71894"/>
    <w:rsid w:val="00FA3766"/>
    <w:rsid w:val="00FC4068"/>
    <w:rsid w:val="00FE743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463A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4F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F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463A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4F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F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2018-01-29T12:58:00Z</dcterms:created>
  <dcterms:modified xsi:type="dcterms:W3CDTF">2021-06-21T05:58:00Z</dcterms:modified>
</cp:coreProperties>
</file>